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113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34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0"/>
          <w:szCs w:val="10"/>
        </w:rPr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Нефтеюганск</w:t>
      </w:r>
    </w:p>
    <w:p>
      <w:pPr>
        <w:spacing w:before="0" w:after="0"/>
        <w:ind w:left="20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</w:rPr>
        <w:t>Нефтеюганского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</w:t>
      </w:r>
      <w:r>
        <w:rPr>
          <w:rFonts w:ascii="Times New Roman" w:eastAsia="Times New Roman" w:hAnsi="Times New Roman" w:cs="Times New Roman"/>
        </w:rPr>
        <w:t xml:space="preserve">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</w:rPr>
        <w:t>мкр</w:t>
      </w:r>
      <w:r>
        <w:rPr>
          <w:rFonts w:ascii="Times New Roman" w:eastAsia="Times New Roman" w:hAnsi="Times New Roman" w:cs="Times New Roman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580"/>
        <w:jc w:val="both"/>
      </w:pPr>
      <w:r>
        <w:rPr>
          <w:rFonts w:ascii="Times New Roman" w:eastAsia="Times New Roman" w:hAnsi="Times New Roman" w:cs="Times New Roman"/>
        </w:rPr>
        <w:t>Хидиралиева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Авазхона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Эралиевича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52rplc-5"/>
          <w:rFonts w:ascii="Times New Roman" w:eastAsia="Times New Roman" w:hAnsi="Times New Roman" w:cs="Times New Roman"/>
        </w:rPr>
        <w:t>...</w:t>
      </w:r>
      <w:r>
        <w:rPr>
          <w:rStyle w:val="cat-PassportDatagrp-40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41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53rplc-13"/>
          <w:rFonts w:ascii="Times New Roman" w:eastAsia="Times New Roman" w:hAnsi="Times New Roman" w:cs="Times New Roman"/>
        </w:rPr>
        <w:t>...</w:t>
      </w:r>
      <w:r>
        <w:rPr>
          <w:rStyle w:val="cat-ExternalSystemDefinedgrp-50rplc-14"/>
          <w:rFonts w:ascii="Times New Roman" w:eastAsia="Times New Roman" w:hAnsi="Times New Roman" w:cs="Times New Roman"/>
        </w:rPr>
        <w:t>...</w:t>
      </w:r>
      <w:r>
        <w:rPr>
          <w:rStyle w:val="cat-ExternalSystemDefinedgrp-5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Хидиралиев</w:t>
      </w:r>
      <w:r>
        <w:rPr>
          <w:rFonts w:ascii="Times New Roman" w:eastAsia="Times New Roman" w:hAnsi="Times New Roman" w:cs="Times New Roman"/>
        </w:rPr>
        <w:t xml:space="preserve">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проживающий по адресу: </w:t>
      </w:r>
      <w:r>
        <w:rPr>
          <w:rStyle w:val="cat-UserDefinedgrp-5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10.11.2025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рублей, назначенный постановлением по делу об административном правонарушении № </w:t>
      </w:r>
      <w:r>
        <w:rPr>
          <w:rStyle w:val="cat-UserDefinedgrp-56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13.08.2025 </w:t>
      </w:r>
      <w:r>
        <w:rPr>
          <w:rFonts w:ascii="Times New Roman" w:eastAsia="Times New Roman" w:hAnsi="Times New Roman" w:cs="Times New Roman"/>
        </w:rPr>
        <w:t xml:space="preserve">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2.12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</w:t>
      </w:r>
      <w:r>
        <w:rPr>
          <w:rFonts w:ascii="Times New Roman" w:eastAsia="Times New Roman" w:hAnsi="Times New Roman" w:cs="Times New Roman"/>
        </w:rPr>
        <w:t>Тюменской области</w:t>
      </w:r>
      <w:r>
        <w:rPr>
          <w:rFonts w:ascii="Times New Roman" w:eastAsia="Times New Roman" w:hAnsi="Times New Roman" w:cs="Times New Roman"/>
        </w:rPr>
        <w:t xml:space="preserve"> об административн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>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Хидиралиев</w:t>
      </w:r>
      <w:r>
        <w:rPr>
          <w:rFonts w:ascii="Times New Roman" w:eastAsia="Times New Roman" w:hAnsi="Times New Roman" w:cs="Times New Roman"/>
        </w:rPr>
        <w:t xml:space="preserve"> А.Э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Хидиралиева А.Э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Хидиралиева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15.12.2025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Хидиралиев</w:t>
      </w:r>
      <w:r>
        <w:rPr>
          <w:rFonts w:ascii="Times New Roman" w:eastAsia="Times New Roman" w:hAnsi="Times New Roman" w:cs="Times New Roman"/>
        </w:rPr>
        <w:t xml:space="preserve">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</w:t>
      </w:r>
      <w:r>
        <w:rPr>
          <w:rFonts w:ascii="Times New Roman" w:eastAsia="Times New Roman" w:hAnsi="Times New Roman" w:cs="Times New Roman"/>
        </w:rPr>
        <w:t>новленный срок не уплатил штраф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Хидиралиеву</w:t>
      </w:r>
      <w:r>
        <w:rPr>
          <w:rFonts w:ascii="Times New Roman" w:eastAsia="Times New Roman" w:hAnsi="Times New Roman" w:cs="Times New Roman"/>
        </w:rPr>
        <w:t xml:space="preserve"> А.Э.; 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- уведомлением о времени и месте составления протокола об административном правонарушении, списком внутренних почтовых отправлений о направлении уведомления, 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13.08.2025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Хидиралиев</w:t>
      </w:r>
      <w:r>
        <w:rPr>
          <w:rFonts w:ascii="Times New Roman" w:eastAsia="Times New Roman" w:hAnsi="Times New Roman" w:cs="Times New Roman"/>
        </w:rPr>
        <w:t xml:space="preserve">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 2.12 </w:t>
      </w:r>
      <w:r>
        <w:rPr>
          <w:rFonts w:ascii="Times New Roman" w:eastAsia="Times New Roman" w:hAnsi="Times New Roman" w:cs="Times New Roman"/>
        </w:rPr>
        <w:t>Кодекса Тюменской области об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500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09.09.2025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протокола № </w:t>
      </w:r>
      <w:r>
        <w:rPr>
          <w:rStyle w:val="cat-UserDefinedgrp-57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копией протокола № 1 заседания административной комиссии Центрального административного округа города Тюмени от 17.04.2024;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 о наличии задолженности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Хидиралиевым</w:t>
      </w:r>
      <w:r>
        <w:rPr>
          <w:rFonts w:ascii="Times New Roman" w:eastAsia="Times New Roman" w:hAnsi="Times New Roman" w:cs="Times New Roman"/>
        </w:rPr>
        <w:t xml:space="preserve">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являлось </w:t>
      </w:r>
      <w:r>
        <w:rPr>
          <w:rFonts w:ascii="Times New Roman" w:eastAsia="Times New Roman" w:hAnsi="Times New Roman" w:cs="Times New Roman"/>
        </w:rPr>
        <w:t>10.11.2025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Хидиралиева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Хидиралиева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Хидиралиева А.Э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Хидиралиева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Авазхона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Эралиевича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0412365400395001132620124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860"/>
        <w:rPr>
          <w:sz w:val="16"/>
          <w:szCs w:val="16"/>
        </w:rPr>
      </w:pPr>
    </w:p>
    <w:tbl>
      <w:tblPr>
        <w:tblW w:w="107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right="13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2rplc-5">
    <w:name w:val="cat-ExternalSystemDefined grp-52 rplc-5"/>
    <w:basedOn w:val="DefaultParagraphFont"/>
  </w:style>
  <w:style w:type="character" w:customStyle="1" w:styleId="cat-PassportDatagrp-40rplc-6">
    <w:name w:val="cat-PassportData grp-40 rplc-6"/>
    <w:basedOn w:val="DefaultParagraphFont"/>
  </w:style>
  <w:style w:type="character" w:customStyle="1" w:styleId="cat-UserDefinedgrp-55rplc-8">
    <w:name w:val="cat-UserDefined grp-55 rplc-8"/>
    <w:basedOn w:val="DefaultParagraphFont"/>
  </w:style>
  <w:style w:type="character" w:customStyle="1" w:styleId="cat-UserDefinedgrp-54rplc-10">
    <w:name w:val="cat-UserDefined grp-54 rplc-10"/>
    <w:basedOn w:val="DefaultParagraphFont"/>
  </w:style>
  <w:style w:type="character" w:customStyle="1" w:styleId="cat-PassportDatagrp-41rplc-12">
    <w:name w:val="cat-PassportData grp-41 rplc-12"/>
    <w:basedOn w:val="DefaultParagraphFont"/>
  </w:style>
  <w:style w:type="character" w:customStyle="1" w:styleId="cat-ExternalSystemDefinedgrp-53rplc-13">
    <w:name w:val="cat-ExternalSystemDefined grp-53 rplc-13"/>
    <w:basedOn w:val="DefaultParagraphFont"/>
  </w:style>
  <w:style w:type="character" w:customStyle="1" w:styleId="cat-ExternalSystemDefinedgrp-50rplc-14">
    <w:name w:val="cat-ExternalSystemDefined grp-50 rplc-14"/>
    <w:basedOn w:val="DefaultParagraphFont"/>
  </w:style>
  <w:style w:type="character" w:customStyle="1" w:styleId="cat-ExternalSystemDefinedgrp-51rplc-15">
    <w:name w:val="cat-ExternalSystemDefined grp-51 rplc-15"/>
    <w:basedOn w:val="DefaultParagraphFont"/>
  </w:style>
  <w:style w:type="character" w:customStyle="1" w:styleId="cat-UserDefinedgrp-54rplc-18">
    <w:name w:val="cat-UserDefined grp-54 rplc-18"/>
    <w:basedOn w:val="DefaultParagraphFont"/>
  </w:style>
  <w:style w:type="character" w:customStyle="1" w:styleId="cat-UserDefinedgrp-56rplc-22">
    <w:name w:val="cat-UserDefined grp-56 rplc-22"/>
    <w:basedOn w:val="DefaultParagraphFont"/>
  </w:style>
  <w:style w:type="character" w:customStyle="1" w:styleId="cat-UserDefinedgrp-58rplc-31">
    <w:name w:val="cat-UserDefined grp-58 rplc-31"/>
    <w:basedOn w:val="DefaultParagraphFont"/>
  </w:style>
  <w:style w:type="character" w:customStyle="1" w:styleId="cat-UserDefinedgrp-56rplc-35">
    <w:name w:val="cat-UserDefined grp-56 rplc-35"/>
    <w:basedOn w:val="DefaultParagraphFont"/>
  </w:style>
  <w:style w:type="character" w:customStyle="1" w:styleId="cat-UserDefinedgrp-57rplc-41">
    <w:name w:val="cat-UserDefined grp-57 rplc-41"/>
    <w:basedOn w:val="DefaultParagraphFont"/>
  </w:style>
  <w:style w:type="character" w:customStyle="1" w:styleId="cat-UserDefinedgrp-59rplc-59">
    <w:name w:val="cat-UserDefined grp-59 rplc-59"/>
    <w:basedOn w:val="DefaultParagraphFont"/>
  </w:style>
  <w:style w:type="character" w:customStyle="1" w:styleId="cat-UserDefinedgrp-60rplc-62">
    <w:name w:val="cat-UserDefined grp-60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